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44ED" w14:textId="77777777" w:rsidR="00C30769" w:rsidRPr="00C30769" w:rsidRDefault="00C30769" w:rsidP="00C30769">
      <w:pPr>
        <w:jc w:val="center"/>
        <w:rPr>
          <w:sz w:val="28"/>
          <w:szCs w:val="28"/>
        </w:rPr>
      </w:pPr>
      <w:r w:rsidRPr="00C30769">
        <w:rPr>
          <w:b/>
          <w:bCs/>
          <w:sz w:val="28"/>
          <w:szCs w:val="28"/>
        </w:rPr>
        <w:t>PROGRAM SENSITIVE // FOR OFFICIAL USE ONLY</w:t>
      </w:r>
    </w:p>
    <w:p w14:paraId="7A40EFEA" w14:textId="77777777" w:rsidR="00C30769" w:rsidRPr="00C30769" w:rsidRDefault="00C30769" w:rsidP="00C30769">
      <w:pPr>
        <w:rPr>
          <w:sz w:val="24"/>
          <w:szCs w:val="24"/>
        </w:rPr>
      </w:pPr>
      <w:r w:rsidRPr="00C30769">
        <w:rPr>
          <w:b/>
          <w:bCs/>
          <w:sz w:val="24"/>
          <w:szCs w:val="24"/>
        </w:rPr>
        <w:t>NSC Contractor and Subcontractor Registry</w:t>
      </w:r>
      <w:r w:rsidRPr="00C30769">
        <w:rPr>
          <w:sz w:val="24"/>
          <w:szCs w:val="24"/>
        </w:rPr>
        <w:t xml:space="preserve"> Program: ARES | FY2023 | Document ID: ARES-CR-2023-009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2115"/>
        <w:gridCol w:w="1807"/>
        <w:gridCol w:w="1584"/>
        <w:gridCol w:w="1273"/>
      </w:tblGrid>
      <w:tr w:rsidR="00C30769" w:rsidRPr="00C30769" w14:paraId="45A4028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40F093" w14:textId="77777777" w:rsidR="00C30769" w:rsidRPr="00C30769" w:rsidRDefault="00C30769" w:rsidP="00C30769">
            <w:pPr>
              <w:rPr>
                <w:b/>
                <w:bCs/>
                <w:sz w:val="24"/>
                <w:szCs w:val="24"/>
              </w:rPr>
            </w:pPr>
            <w:r w:rsidRPr="00C30769">
              <w:rPr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0" w:type="auto"/>
            <w:vAlign w:val="center"/>
            <w:hideMark/>
          </w:tcPr>
          <w:p w14:paraId="5E5A07F3" w14:textId="77777777" w:rsidR="00C30769" w:rsidRPr="00C30769" w:rsidRDefault="00C30769" w:rsidP="00C30769">
            <w:pPr>
              <w:rPr>
                <w:b/>
                <w:bCs/>
                <w:sz w:val="24"/>
                <w:szCs w:val="24"/>
              </w:rPr>
            </w:pPr>
            <w:r w:rsidRPr="00C30769">
              <w:rPr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3EEFD93B" w14:textId="77777777" w:rsidR="00C30769" w:rsidRPr="00C30769" w:rsidRDefault="00C30769" w:rsidP="00C30769">
            <w:pPr>
              <w:rPr>
                <w:b/>
                <w:bCs/>
                <w:sz w:val="24"/>
                <w:szCs w:val="24"/>
              </w:rPr>
            </w:pPr>
            <w:r w:rsidRPr="00C30769">
              <w:rPr>
                <w:b/>
                <w:bCs/>
                <w:sz w:val="24"/>
                <w:szCs w:val="24"/>
              </w:rPr>
              <w:t>Contract Number</w:t>
            </w:r>
          </w:p>
        </w:tc>
        <w:tc>
          <w:tcPr>
            <w:tcW w:w="0" w:type="auto"/>
            <w:vAlign w:val="center"/>
            <w:hideMark/>
          </w:tcPr>
          <w:p w14:paraId="126D921D" w14:textId="77777777" w:rsidR="00C30769" w:rsidRPr="00C30769" w:rsidRDefault="00C30769" w:rsidP="00C30769">
            <w:pPr>
              <w:rPr>
                <w:b/>
                <w:bCs/>
                <w:sz w:val="24"/>
                <w:szCs w:val="24"/>
              </w:rPr>
            </w:pPr>
            <w:r w:rsidRPr="00C30769">
              <w:rPr>
                <w:b/>
                <w:bCs/>
                <w:sz w:val="24"/>
                <w:szCs w:val="24"/>
              </w:rPr>
              <w:t>Clearance Level</w:t>
            </w:r>
          </w:p>
        </w:tc>
        <w:tc>
          <w:tcPr>
            <w:tcW w:w="0" w:type="auto"/>
            <w:vAlign w:val="center"/>
            <w:hideMark/>
          </w:tcPr>
          <w:p w14:paraId="108B28AC" w14:textId="77777777" w:rsidR="00C30769" w:rsidRPr="00C30769" w:rsidRDefault="00C30769" w:rsidP="00C30769">
            <w:pPr>
              <w:rPr>
                <w:b/>
                <w:bCs/>
                <w:sz w:val="24"/>
                <w:szCs w:val="24"/>
              </w:rPr>
            </w:pPr>
            <w:r w:rsidRPr="00C30769">
              <w:rPr>
                <w:b/>
                <w:bCs/>
                <w:sz w:val="24"/>
                <w:szCs w:val="24"/>
              </w:rPr>
              <w:t>POC</w:t>
            </w:r>
          </w:p>
        </w:tc>
      </w:tr>
      <w:tr w:rsidR="00C30769" w:rsidRPr="00C30769" w14:paraId="1FE31A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30B01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Hargrove Defense Systems</w:t>
            </w:r>
          </w:p>
        </w:tc>
        <w:tc>
          <w:tcPr>
            <w:tcW w:w="0" w:type="auto"/>
            <w:vAlign w:val="center"/>
            <w:hideMark/>
          </w:tcPr>
          <w:p w14:paraId="4FCA0426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Prime Contractor</w:t>
            </w:r>
          </w:p>
        </w:tc>
        <w:tc>
          <w:tcPr>
            <w:tcW w:w="0" w:type="auto"/>
            <w:vAlign w:val="center"/>
            <w:hideMark/>
          </w:tcPr>
          <w:p w14:paraId="140DF708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CV-2019-0047</w:t>
            </w:r>
          </w:p>
        </w:tc>
        <w:tc>
          <w:tcPr>
            <w:tcW w:w="0" w:type="auto"/>
            <w:vAlign w:val="center"/>
            <w:hideMark/>
          </w:tcPr>
          <w:p w14:paraId="76CA9D7C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TS/SCI Facility</w:t>
            </w:r>
          </w:p>
        </w:tc>
        <w:tc>
          <w:tcPr>
            <w:tcW w:w="0" w:type="auto"/>
            <w:vAlign w:val="center"/>
            <w:hideMark/>
          </w:tcPr>
          <w:p w14:paraId="560884FF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M. Hargrove</w:t>
            </w:r>
          </w:p>
        </w:tc>
      </w:tr>
      <w:tr w:rsidR="00C30769" w:rsidRPr="00C30769" w14:paraId="1801C5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267B6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Vantage Signal Solutions</w:t>
            </w:r>
          </w:p>
        </w:tc>
        <w:tc>
          <w:tcPr>
            <w:tcW w:w="0" w:type="auto"/>
            <w:vAlign w:val="center"/>
            <w:hideMark/>
          </w:tcPr>
          <w:p w14:paraId="33D1924D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RF Subsystem</w:t>
            </w:r>
          </w:p>
        </w:tc>
        <w:tc>
          <w:tcPr>
            <w:tcW w:w="0" w:type="auto"/>
            <w:vAlign w:val="center"/>
            <w:hideMark/>
          </w:tcPr>
          <w:p w14:paraId="09E65E01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CV-2019-0047-S01</w:t>
            </w:r>
          </w:p>
        </w:tc>
        <w:tc>
          <w:tcPr>
            <w:tcW w:w="0" w:type="auto"/>
            <w:vAlign w:val="center"/>
            <w:hideMark/>
          </w:tcPr>
          <w:p w14:paraId="65B11185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Secret Facility</w:t>
            </w:r>
          </w:p>
        </w:tc>
        <w:tc>
          <w:tcPr>
            <w:tcW w:w="0" w:type="auto"/>
            <w:vAlign w:val="center"/>
            <w:hideMark/>
          </w:tcPr>
          <w:p w14:paraId="54FA0E41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D. Okafor</w:t>
            </w:r>
          </w:p>
        </w:tc>
      </w:tr>
      <w:tr w:rsidR="00C30769" w:rsidRPr="00C30769" w14:paraId="2A9BEA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122A8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Meridian Data Group</w:t>
            </w:r>
          </w:p>
        </w:tc>
        <w:tc>
          <w:tcPr>
            <w:tcW w:w="0" w:type="auto"/>
            <w:vAlign w:val="center"/>
            <w:hideMark/>
          </w:tcPr>
          <w:p w14:paraId="076B3950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Software Integration</w:t>
            </w:r>
          </w:p>
        </w:tc>
        <w:tc>
          <w:tcPr>
            <w:tcW w:w="0" w:type="auto"/>
            <w:vAlign w:val="center"/>
            <w:hideMark/>
          </w:tcPr>
          <w:p w14:paraId="378260F8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CV-2019-0047-S02</w:t>
            </w:r>
          </w:p>
        </w:tc>
        <w:tc>
          <w:tcPr>
            <w:tcW w:w="0" w:type="auto"/>
            <w:vAlign w:val="center"/>
            <w:hideMark/>
          </w:tcPr>
          <w:p w14:paraId="1FCED8B2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Secret Facility</w:t>
            </w:r>
          </w:p>
        </w:tc>
        <w:tc>
          <w:tcPr>
            <w:tcW w:w="0" w:type="auto"/>
            <w:vAlign w:val="center"/>
            <w:hideMark/>
          </w:tcPr>
          <w:p w14:paraId="5D5BECE5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P. Stanton</w:t>
            </w:r>
          </w:p>
        </w:tc>
      </w:tr>
      <w:tr w:rsidR="00C30769" w:rsidRPr="00C30769" w14:paraId="6824FF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068DB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Coldwater Electronics</w:t>
            </w:r>
          </w:p>
        </w:tc>
        <w:tc>
          <w:tcPr>
            <w:tcW w:w="0" w:type="auto"/>
            <w:vAlign w:val="center"/>
            <w:hideMark/>
          </w:tcPr>
          <w:p w14:paraId="51135C78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Hardware Supply</w:t>
            </w:r>
          </w:p>
        </w:tc>
        <w:tc>
          <w:tcPr>
            <w:tcW w:w="0" w:type="auto"/>
            <w:vAlign w:val="center"/>
            <w:hideMark/>
          </w:tcPr>
          <w:p w14:paraId="6ECF494C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CV-2019-0047-S03</w:t>
            </w:r>
          </w:p>
        </w:tc>
        <w:tc>
          <w:tcPr>
            <w:tcW w:w="0" w:type="auto"/>
            <w:vAlign w:val="center"/>
            <w:hideMark/>
          </w:tcPr>
          <w:p w14:paraId="213BE36B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Confidential</w:t>
            </w:r>
          </w:p>
        </w:tc>
        <w:tc>
          <w:tcPr>
            <w:tcW w:w="0" w:type="auto"/>
            <w:vAlign w:val="center"/>
            <w:hideMark/>
          </w:tcPr>
          <w:p w14:paraId="11904EA0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T. Bryce</w:t>
            </w:r>
          </w:p>
        </w:tc>
      </w:tr>
      <w:tr w:rsidR="00C30769" w:rsidRPr="00C30769" w14:paraId="7266BA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B22F4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Apex Networking LLC</w:t>
            </w:r>
          </w:p>
        </w:tc>
        <w:tc>
          <w:tcPr>
            <w:tcW w:w="0" w:type="auto"/>
            <w:vAlign w:val="center"/>
            <w:hideMark/>
          </w:tcPr>
          <w:p w14:paraId="04F8CE26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Network Architecture</w:t>
            </w:r>
          </w:p>
        </w:tc>
        <w:tc>
          <w:tcPr>
            <w:tcW w:w="0" w:type="auto"/>
            <w:vAlign w:val="center"/>
            <w:hideMark/>
          </w:tcPr>
          <w:p w14:paraId="580943AC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CV-2019-0047-S04</w:t>
            </w:r>
          </w:p>
        </w:tc>
        <w:tc>
          <w:tcPr>
            <w:tcW w:w="0" w:type="auto"/>
            <w:vAlign w:val="center"/>
            <w:hideMark/>
          </w:tcPr>
          <w:p w14:paraId="7675FC57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Secret Facility</w:t>
            </w:r>
          </w:p>
        </w:tc>
        <w:tc>
          <w:tcPr>
            <w:tcW w:w="0" w:type="auto"/>
            <w:vAlign w:val="center"/>
            <w:hideMark/>
          </w:tcPr>
          <w:p w14:paraId="275E9429" w14:textId="77777777" w:rsidR="00C30769" w:rsidRPr="00C30769" w:rsidRDefault="00C30769" w:rsidP="00C30769">
            <w:pPr>
              <w:rPr>
                <w:sz w:val="24"/>
                <w:szCs w:val="24"/>
              </w:rPr>
            </w:pPr>
            <w:r w:rsidRPr="00C30769">
              <w:rPr>
                <w:sz w:val="24"/>
                <w:szCs w:val="24"/>
              </w:rPr>
              <w:t>R. Nguyen</w:t>
            </w:r>
          </w:p>
        </w:tc>
      </w:tr>
    </w:tbl>
    <w:p w14:paraId="6A18C5AD" w14:textId="77777777" w:rsidR="00C30769" w:rsidRPr="00C30769" w:rsidRDefault="00C30769" w:rsidP="00C30769">
      <w:pPr>
        <w:rPr>
          <w:sz w:val="24"/>
          <w:szCs w:val="24"/>
        </w:rPr>
      </w:pPr>
      <w:r w:rsidRPr="00C30769">
        <w:rPr>
          <w:sz w:val="24"/>
          <w:szCs w:val="24"/>
        </w:rPr>
        <w:t xml:space="preserve">All contractors must maintain facility </w:t>
      </w:r>
      <w:proofErr w:type="gramStart"/>
      <w:r w:rsidRPr="00C30769">
        <w:rPr>
          <w:sz w:val="24"/>
          <w:szCs w:val="24"/>
        </w:rPr>
        <w:t>clearances</w:t>
      </w:r>
      <w:proofErr w:type="gramEnd"/>
      <w:r w:rsidRPr="00C30769">
        <w:rPr>
          <w:sz w:val="24"/>
          <w:szCs w:val="24"/>
        </w:rPr>
        <w:t xml:space="preserve"> at the level indicated above for the duration of contract performance. POC information is FOR OFFICIAL USE ONLY and shall not be distributed outside the program office.</w:t>
      </w:r>
    </w:p>
    <w:p w14:paraId="53646612" w14:textId="77777777" w:rsidR="00000000" w:rsidRDefault="00000000"/>
    <w:sectPr w:rsidR="000D6F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0CCF" w14:textId="77777777" w:rsidR="00087C1A" w:rsidRDefault="00087C1A" w:rsidP="009E0DC7">
      <w:pPr>
        <w:spacing w:after="0" w:line="240" w:lineRule="auto"/>
      </w:pPr>
      <w:r>
        <w:separator/>
      </w:r>
    </w:p>
  </w:endnote>
  <w:endnote w:type="continuationSeparator" w:id="0">
    <w:p w14:paraId="57E1FC7B" w14:textId="77777777" w:rsidR="00087C1A" w:rsidRDefault="00087C1A" w:rsidP="009E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C0F5" w14:textId="77777777" w:rsidR="009E0DC7" w:rsidRDefault="009E0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8AB1" w14:textId="77777777" w:rsidR="009E0DC7" w:rsidRDefault="00C30769">
    <w:pPr>
      <w:pStyle w:val="Footer"/>
    </w:pPr>
    <w:r>
      <w:rPr>
        <w:noProof/>
      </w:rPr>
      <w:drawing>
        <wp:inline distT="0" distB="0" distL="0" distR="0" wp14:anchorId="4907CA07" wp14:editId="4ADE4130">
          <wp:extent cx="12700" cy="12700"/>
          <wp:effectExtent l="0" t="0" r="0" b="0"/>
          <wp:docPr id="263450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" cy="1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646883" w14:textId="77777777" w:rsidR="009E0DC7" w:rsidRDefault="009E0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31C3" w14:textId="77777777" w:rsidR="009E0DC7" w:rsidRDefault="009E0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1CBD" w14:textId="77777777" w:rsidR="00087C1A" w:rsidRDefault="00087C1A" w:rsidP="009E0DC7">
      <w:pPr>
        <w:spacing w:after="0" w:line="240" w:lineRule="auto"/>
      </w:pPr>
      <w:r>
        <w:separator/>
      </w:r>
    </w:p>
  </w:footnote>
  <w:footnote w:type="continuationSeparator" w:id="0">
    <w:p w14:paraId="7CE2928D" w14:textId="77777777" w:rsidR="00087C1A" w:rsidRDefault="00087C1A" w:rsidP="009E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9006" w14:textId="77777777" w:rsidR="009E0DC7" w:rsidRDefault="009E0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F1B1" w14:textId="77777777" w:rsidR="009E0DC7" w:rsidRDefault="009E0D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D889" w14:textId="77777777" w:rsidR="009E0DC7" w:rsidRDefault="009E0D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C7"/>
    <w:rsid w:val="00087C1A"/>
    <w:rsid w:val="001B2CCF"/>
    <w:rsid w:val="002C6CAA"/>
    <w:rsid w:val="004D4252"/>
    <w:rsid w:val="009E0DC7"/>
    <w:rsid w:val="00C3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C1149"/>
  <w15:chartTrackingRefBased/>
  <w15:docId w15:val="{CB77E177-31F3-42EB-B585-EB2DBA2E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DC7"/>
  </w:style>
  <w:style w:type="paragraph" w:styleId="Footer">
    <w:name w:val="footer"/>
    <w:basedOn w:val="Normal"/>
    <w:link w:val="FooterChar"/>
    <w:uiPriority w:val="99"/>
    <w:unhideWhenUsed/>
    <w:rsid w:val="009E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canarytokens.com/about/o45jgnfpcbcztwmi2mw8wen3w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Garrett McGuire</cp:lastModifiedBy>
  <cp:revision>2</cp:revision>
  <dcterms:created xsi:type="dcterms:W3CDTF">2026-04-22T00:05:00Z</dcterms:created>
  <dcterms:modified xsi:type="dcterms:W3CDTF">2026-05-01T01:08:00Z</dcterms:modified>
</cp:coreProperties>
</file>